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137BC3A4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F03936">
        <w:rPr>
          <w:rFonts w:ascii="Calibri" w:hAnsi="Calibri"/>
          <w:b/>
          <w:color w:val="FF0000"/>
          <w:sz w:val="24"/>
          <w:szCs w:val="24"/>
        </w:rPr>
        <w:t>1</w:t>
      </w:r>
      <w:r w:rsidR="00A46BFC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95736DA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E812C9">
        <w:rPr>
          <w:rFonts w:ascii="Calibri" w:hAnsi="Calibri"/>
          <w:sz w:val="24"/>
          <w:szCs w:val="24"/>
        </w:rPr>
        <w:t xml:space="preserve"> </w:t>
      </w:r>
      <w:r w:rsidR="00BE3BE7" w:rsidRPr="00BE3BE7">
        <w:rPr>
          <w:rFonts w:ascii="Calibri" w:hAnsi="Calibri"/>
          <w:sz w:val="24"/>
          <w:szCs w:val="24"/>
        </w:rPr>
        <w:t>2023/BZP 00307572/01 z dnia 2023-07-14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7777777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4C517F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z 2022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, poz. 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0</w:t>
      </w:r>
      <w:r w:rsidR="004E356B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446A14FF" w14:textId="4B6DEF8A" w:rsidR="00613A42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DA284A" w:rsidRPr="00DA284A">
        <w:rPr>
          <w:rFonts w:ascii="Calibri" w:eastAsia="Calibri" w:hAnsi="Calibri"/>
          <w:b/>
          <w:bCs/>
          <w:sz w:val="24"/>
          <w:szCs w:val="24"/>
          <w:lang w:eastAsia="en-US"/>
        </w:rPr>
        <w:t>Budowa chodnika na ul. Koczorowskiej w Ostrówku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  <w:r w:rsidR="00613734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34B45BF8" w14:textId="77777777" w:rsidR="008D571A" w:rsidRPr="004C517F" w:rsidRDefault="008D571A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77777777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zp oraz art. 109 ust. 1 pkt 1 </w:t>
            </w:r>
            <w:r w:rsidR="004E7B1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BABC293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77777777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7777777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0E22FC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7777777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(t.j. Dz. U. z 2023 r., poz. 129</w:t>
            </w:r>
            <w:r w:rsidR="00AA1C60" w:rsidRPr="004C517F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BE3BE7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3BE7"/>
    <w:rsid w:val="00BE6A38"/>
    <w:rsid w:val="00BF39F2"/>
    <w:rsid w:val="00C05298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28</cp:revision>
  <cp:lastPrinted>2016-11-29T15:51:00Z</cp:lastPrinted>
  <dcterms:created xsi:type="dcterms:W3CDTF">2023-04-26T19:38:00Z</dcterms:created>
  <dcterms:modified xsi:type="dcterms:W3CDTF">2023-07-14T09:25:00Z</dcterms:modified>
</cp:coreProperties>
</file>