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2E01D38B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EE6B00">
        <w:rPr>
          <w:rFonts w:ascii="Calibri" w:hAnsi="Calibri"/>
          <w:b/>
          <w:color w:val="FF0000"/>
          <w:sz w:val="24"/>
          <w:szCs w:val="24"/>
        </w:rPr>
        <w:t>2</w:t>
      </w:r>
      <w:r w:rsidR="00062BF9">
        <w:rPr>
          <w:rFonts w:ascii="Calibri" w:hAnsi="Calibri"/>
          <w:b/>
          <w:color w:val="FF0000"/>
          <w:sz w:val="24"/>
          <w:szCs w:val="24"/>
        </w:rPr>
        <w:t>0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5A4E3478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B30492">
        <w:rPr>
          <w:rFonts w:ascii="Calibri" w:hAnsi="Calibri"/>
          <w:sz w:val="24"/>
          <w:szCs w:val="24"/>
        </w:rPr>
        <w:t xml:space="preserve"> </w:t>
      </w:r>
      <w:r w:rsidR="00852544" w:rsidRPr="00852544">
        <w:rPr>
          <w:rFonts w:ascii="Calibri" w:hAnsi="Calibri"/>
          <w:sz w:val="24"/>
          <w:szCs w:val="24"/>
        </w:rPr>
        <w:t>2023/BZP 00405980/01 z dnia 2023-09-20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48606D15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314B4EDF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E87FF4" w:rsidRPr="00E87FF4">
        <w:rPr>
          <w:rFonts w:ascii="Calibri" w:eastAsia="Calibri" w:hAnsi="Calibri"/>
          <w:b/>
          <w:bCs/>
          <w:sz w:val="24"/>
          <w:szCs w:val="24"/>
          <w:lang w:eastAsia="en-US"/>
        </w:rPr>
        <w:t>Budowa ulicy Matejki w Tule – II etap</w:t>
      </w:r>
      <w:r w:rsidR="00174DAD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</w:t>
      </w:r>
      <w:r w:rsidR="00174DAD" w:rsidRPr="00174DAD">
        <w:rPr>
          <w:rFonts w:ascii="Calibri" w:eastAsia="Calibri" w:hAnsi="Calibri"/>
          <w:b/>
          <w:bCs/>
          <w:sz w:val="24"/>
          <w:szCs w:val="24"/>
          <w:lang w:eastAsia="en-US"/>
        </w:rPr>
        <w:t>(od DW 634 do skrzyżowania dróg gminnych)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852544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38</cp:revision>
  <cp:lastPrinted>2012-01-20T09:48:00Z</cp:lastPrinted>
  <dcterms:created xsi:type="dcterms:W3CDTF">2023-04-26T19:30:00Z</dcterms:created>
  <dcterms:modified xsi:type="dcterms:W3CDTF">2023-09-20T12:50:00Z</dcterms:modified>
</cp:coreProperties>
</file>