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F760D" w14:textId="564EA9B6" w:rsidR="00B33AB6" w:rsidRDefault="00B33AB6" w:rsidP="00B33AB6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EC7CC0">
        <w:rPr>
          <w:rFonts w:ascii="Calibri" w:hAnsi="Calibri" w:cs="Calibri"/>
          <w:b/>
          <w:noProof/>
        </w:rPr>
        <w:drawing>
          <wp:inline distT="0" distB="0" distL="0" distR="0" wp14:anchorId="22D196DE" wp14:editId="5D957DC4">
            <wp:extent cx="3733800" cy="752475"/>
            <wp:effectExtent l="0" t="0" r="0" b="9525"/>
            <wp:docPr id="12998188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0B2C5" w14:textId="6A98CDBC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B33AB6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AB496E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27A88C0B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C560C3">
        <w:rPr>
          <w:rFonts w:ascii="Calibri" w:hAnsi="Calibri" w:cs="Calibri"/>
        </w:rPr>
        <w:t xml:space="preserve"> </w:t>
      </w:r>
      <w:r w:rsidR="00C560C3" w:rsidRPr="00C560C3">
        <w:rPr>
          <w:rFonts w:ascii="Calibri" w:hAnsi="Calibri" w:cs="Calibri"/>
        </w:rPr>
        <w:t>2026/BZP 00339167/01 z dnia 2026-07-13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5EBF1B1C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B496E">
        <w:rPr>
          <w:rFonts w:asciiTheme="minorHAnsi" w:eastAsia="Calibri" w:hAnsiTheme="minorHAnsi" w:cstheme="minorHAnsi"/>
          <w:b/>
          <w:lang w:eastAsia="en-US" w:bidi="en-US"/>
        </w:rPr>
        <w:t>6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81897AC" w14:textId="59D559B5" w:rsidR="00DB3B8C" w:rsidRPr="00DB3B8C" w:rsidRDefault="002C4678" w:rsidP="00DB3B8C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DB3B8C">
        <w:rPr>
          <w:rFonts w:asciiTheme="minorHAnsi" w:hAnsiTheme="minorHAnsi" w:cstheme="minorHAnsi"/>
          <w:b/>
          <w:bCs/>
          <w:color w:val="FF0000"/>
        </w:rPr>
        <w:t>11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AB496E">
        <w:rPr>
          <w:rFonts w:asciiTheme="minorHAnsi" w:hAnsiTheme="minorHAnsi" w:cstheme="minorHAnsi"/>
          <w:b/>
          <w:bCs/>
          <w:color w:val="000000"/>
        </w:rPr>
        <w:t>6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</w:t>
      </w:r>
      <w:r w:rsidR="00295EB8">
        <w:rPr>
          <w:rFonts w:asciiTheme="minorHAnsi" w:hAnsiTheme="minorHAnsi" w:cstheme="minorHAnsi"/>
          <w:bCs/>
          <w:color w:val="000000"/>
        </w:rPr>
        <w:t>)</w:t>
      </w:r>
      <w:r w:rsidRPr="002C4678">
        <w:rPr>
          <w:rFonts w:asciiTheme="minorHAnsi" w:hAnsiTheme="minorHAnsi" w:cstheme="minorHAnsi"/>
          <w:bCs/>
          <w:color w:val="000000"/>
        </w:rPr>
        <w:t xml:space="preserve"> ustawy z dnia 11 września 2019 r. - Prawo zamówień publicznych (</w:t>
      </w:r>
      <w:r w:rsidR="00295EB8" w:rsidRPr="00295EB8">
        <w:rPr>
          <w:rFonts w:asciiTheme="minorHAnsi" w:hAnsiTheme="minorHAnsi" w:cstheme="minorHAnsi"/>
          <w:bCs/>
          <w:color w:val="000000"/>
        </w:rPr>
        <w:t>t.j. Dz. U. z 2024 r., poz. 1320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466E3A">
        <w:rPr>
          <w:rFonts w:asciiTheme="minorHAnsi" w:hAnsiTheme="minorHAnsi" w:cstheme="minorHAnsi"/>
          <w:bCs/>
          <w:color w:val="000000"/>
        </w:rPr>
        <w:t>, pn.:</w:t>
      </w:r>
      <w:r w:rsidR="00DB3B8C">
        <w:rPr>
          <w:rFonts w:asciiTheme="minorHAnsi" w:hAnsiTheme="minorHAnsi" w:cstheme="minorHAnsi"/>
          <w:bCs/>
          <w:color w:val="000000"/>
        </w:rPr>
        <w:t xml:space="preserve"> </w:t>
      </w:r>
      <w:r w:rsidR="00DB3B8C" w:rsidRPr="00DB3B8C">
        <w:rPr>
          <w:rFonts w:asciiTheme="minorHAnsi" w:hAnsiTheme="minorHAnsi" w:cstheme="minorHAnsi"/>
          <w:b/>
          <w:bCs/>
          <w:color w:val="000000"/>
        </w:rPr>
        <w:t xml:space="preserve">Zagospodarowanie terenu rekreacyjnego i budowa kładki dla pieszych nad rzeką Cienką </w:t>
      </w:r>
      <w:r w:rsidR="00DB3B8C">
        <w:rPr>
          <w:rFonts w:asciiTheme="minorHAnsi" w:hAnsiTheme="minorHAnsi" w:cstheme="minorHAnsi"/>
          <w:b/>
          <w:bCs/>
          <w:color w:val="000000"/>
        </w:rPr>
        <w:t xml:space="preserve">   </w:t>
      </w:r>
      <w:r w:rsidR="00DB3B8C" w:rsidRPr="00DB3B8C">
        <w:rPr>
          <w:rFonts w:asciiTheme="minorHAnsi" w:hAnsiTheme="minorHAnsi" w:cstheme="minorHAnsi"/>
          <w:b/>
          <w:bCs/>
          <w:color w:val="000000"/>
        </w:rPr>
        <w:t>w miejscowości Klembów</w:t>
      </w:r>
      <w:r w:rsidR="00DB3B8C">
        <w:rPr>
          <w:rFonts w:asciiTheme="minorHAnsi" w:hAnsiTheme="minorHAnsi" w:cstheme="minorHAnsi"/>
          <w:color w:val="000000"/>
        </w:rPr>
        <w:t>.</w:t>
      </w:r>
    </w:p>
    <w:p w14:paraId="584ECB8C" w14:textId="77777777" w:rsidR="00295EB8" w:rsidRDefault="00295EB8" w:rsidP="00AB49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379B350B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18C05E7F" w14:textId="28A76D24" w:rsidR="00864187" w:rsidRPr="00864187" w:rsidRDefault="008B436E" w:rsidP="00864187">
      <w:pPr>
        <w:spacing w:line="360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6B1D82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864187" w:rsidRPr="00864187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Zagospodarowanie terenu rekreacyjnego i budowa kładki dla pieszych nad rzeką Cienką w miejscowości Klembów</w:t>
      </w:r>
      <w:r w:rsidR="00864187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62CE6B44" w14:textId="6F5EF11C" w:rsidR="00932A69" w:rsidRPr="00AB496E" w:rsidRDefault="00864187" w:rsidP="00132ECF">
      <w:pPr>
        <w:spacing w:line="360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864187">
        <w:rPr>
          <w:rFonts w:asciiTheme="minorHAnsi" w:eastAsia="Calibri" w:hAnsiTheme="minorHAnsi" w:cstheme="minorHAnsi"/>
          <w:color w:val="000000"/>
          <w:lang w:eastAsia="en-US" w:bidi="en-US"/>
        </w:rPr>
        <w:t>Zadanie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 pn.:</w:t>
      </w:r>
      <w:r w:rsidRPr="00864187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„Rozwój ogólnodostępnej infrastruktury publicznej poprzez zagospodarowanie terenu rekreacyjnego i budowę kładki dla pieszych nad rzeką Cienką </w:t>
      </w:r>
      <w:r w:rsidR="006C65D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  </w:t>
      </w:r>
      <w:r w:rsidRPr="00864187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miejscowości Klembów”</w:t>
      </w:r>
      <w:r w:rsidRPr="00864187">
        <w:rPr>
          <w:rFonts w:asciiTheme="minorHAnsi" w:eastAsia="Calibri" w:hAnsiTheme="minorHAnsi" w:cstheme="minorHAnsi"/>
          <w:color w:val="000000"/>
          <w:lang w:eastAsia="en-US" w:bidi="en-US"/>
        </w:rPr>
        <w:t>, realizowane w ramach interwencji I.13.1 LEADER/Rozwój Lokalny Kierowany przez Społeczność (RLKS) objętej Planem Strategicznym dla Wspólnej Polityki Rolnej na lata 2023–2027.</w:t>
      </w:r>
    </w:p>
    <w:p w14:paraId="1F3282F5" w14:textId="1228E562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B496E" w:rsidRPr="00AB496E">
        <w:rPr>
          <w:rFonts w:asciiTheme="minorHAnsi" w:eastAsia="Calibri" w:hAnsiTheme="minorHAnsi" w:cstheme="minorHAnsi"/>
          <w:bCs/>
          <w:lang w:eastAsia="en-US" w:bidi="en-US"/>
        </w:rPr>
        <w:t xml:space="preserve">Wykonawca wykona przedmiot umowy zgodnie z dokumentacją projektową oraz przedmiarem robót (zwanymi łącznie „dokumentacją”) i ofertą złożoną w postępowaniu       o udzielenie zamówienia publicznego, stanowiącymi łącznie załącznik nr 1 i 2 do umowy. 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0425B66F" w14:textId="77777777" w:rsidR="007A189B" w:rsidRDefault="007A189B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0BC248B" w14:textId="77777777" w:rsidR="007A189B" w:rsidRDefault="007A189B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D9CFF4" w14:textId="35D46890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2.</w:t>
      </w:r>
      <w:r w:rsidR="0031255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1255B" w:rsidRPr="0031255B">
        <w:rPr>
          <w:rFonts w:asciiTheme="minorHAnsi" w:eastAsia="Calibri" w:hAnsiTheme="minorHAnsi" w:cstheme="minorHAnsi"/>
          <w:bCs/>
          <w:lang w:eastAsia="en-US" w:bidi="en-US"/>
        </w:rPr>
        <w:t>Szczegółowy zakres prac obejmuje:</w:t>
      </w:r>
    </w:p>
    <w:tbl>
      <w:tblPr>
        <w:tblStyle w:val="TableGrid"/>
        <w:tblW w:w="7688" w:type="dxa"/>
        <w:tblInd w:w="846" w:type="dxa"/>
        <w:tblCellMar>
          <w:top w:w="76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78"/>
        <w:gridCol w:w="3010"/>
      </w:tblGrid>
      <w:tr w:rsidR="007A189B" w:rsidRPr="007A189B" w14:paraId="45EC084C" w14:textId="77777777" w:rsidTr="00B4606C">
        <w:trPr>
          <w:trHeight w:val="33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AB42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Obiekt: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CE82" w14:textId="77777777" w:rsidR="007A189B" w:rsidRPr="007A189B" w:rsidRDefault="007A189B" w:rsidP="007A189B">
            <w:pPr>
              <w:spacing w:after="160" w:line="259" w:lineRule="auto"/>
              <w:ind w:left="2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Most dla pieszych</w:t>
            </w:r>
          </w:p>
        </w:tc>
      </w:tr>
      <w:tr w:rsidR="007A189B" w:rsidRPr="007A189B" w14:paraId="09937526" w14:textId="77777777" w:rsidTr="00B4606C">
        <w:trPr>
          <w:trHeight w:val="33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38DC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Długość całkowita obiektu: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13F5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13,20 m</w:t>
            </w:r>
          </w:p>
        </w:tc>
      </w:tr>
      <w:tr w:rsidR="007A189B" w:rsidRPr="007A189B" w14:paraId="2BFC0B99" w14:textId="77777777" w:rsidTr="00B4606C">
        <w:trPr>
          <w:trHeight w:val="32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EFCB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Rozpiętości teoretyczne przęseł: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3967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12,60 m</w:t>
            </w:r>
          </w:p>
        </w:tc>
      </w:tr>
      <w:tr w:rsidR="007A189B" w:rsidRPr="007A189B" w14:paraId="0432870F" w14:textId="77777777" w:rsidTr="00B4606C">
        <w:trPr>
          <w:trHeight w:val="33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A4A0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Wysokość konstrukcyjna: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893C" w14:textId="77777777" w:rsidR="007A189B" w:rsidRPr="007A189B" w:rsidRDefault="007A189B" w:rsidP="007A189B">
            <w:pPr>
              <w:spacing w:after="160" w:line="259" w:lineRule="auto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0,55 m</w:t>
            </w:r>
          </w:p>
        </w:tc>
      </w:tr>
      <w:tr w:rsidR="007A189B" w:rsidRPr="007A189B" w14:paraId="7E086862" w14:textId="77777777" w:rsidTr="00B4606C">
        <w:trPr>
          <w:trHeight w:val="33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1022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Rodzaj konstrukcji dźwigarów: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BF57" w14:textId="77777777" w:rsidR="007A189B" w:rsidRPr="007A189B" w:rsidRDefault="007A189B" w:rsidP="007A189B">
            <w:pPr>
              <w:spacing w:after="160" w:line="259" w:lineRule="auto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Zespolone stalowo-betonowe</w:t>
            </w:r>
          </w:p>
        </w:tc>
      </w:tr>
      <w:tr w:rsidR="007A189B" w:rsidRPr="007A189B" w14:paraId="0162778E" w14:textId="77777777" w:rsidTr="00B4606C">
        <w:trPr>
          <w:trHeight w:val="32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7A81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Szerokość całkowita obiektu: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66ED" w14:textId="77777777" w:rsidR="007A189B" w:rsidRPr="007A189B" w:rsidRDefault="007A189B" w:rsidP="007A189B">
            <w:pPr>
              <w:spacing w:after="160" w:line="259" w:lineRule="auto"/>
              <w:ind w:left="2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2,2-2,8 m</w:t>
            </w:r>
          </w:p>
        </w:tc>
      </w:tr>
      <w:tr w:rsidR="007A189B" w:rsidRPr="007A189B" w14:paraId="7771722D" w14:textId="77777777" w:rsidTr="00B4606C">
        <w:trPr>
          <w:trHeight w:val="33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33D1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Szerokość jezdni/liczba pasów ruchu: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995E" w14:textId="77777777" w:rsidR="007A189B" w:rsidRPr="007A189B" w:rsidRDefault="007A189B" w:rsidP="007A189B">
            <w:pPr>
              <w:spacing w:after="160" w:line="259" w:lineRule="auto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1,8-2,4 m/2</w:t>
            </w:r>
          </w:p>
        </w:tc>
      </w:tr>
      <w:tr w:rsidR="007A189B" w:rsidRPr="007A189B" w14:paraId="1801B985" w14:textId="77777777" w:rsidTr="00B4606C">
        <w:trPr>
          <w:trHeight w:val="33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300B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Balustrada: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EE09" w14:textId="77777777" w:rsidR="007A189B" w:rsidRPr="007A189B" w:rsidRDefault="007A189B" w:rsidP="007A189B">
            <w:pPr>
              <w:spacing w:after="160" w:line="259" w:lineRule="auto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0,20+0,20=0,40 m</w:t>
            </w:r>
          </w:p>
        </w:tc>
      </w:tr>
      <w:tr w:rsidR="007A189B" w:rsidRPr="007A189B" w14:paraId="7B3CD955" w14:textId="77777777" w:rsidTr="00B4606C">
        <w:trPr>
          <w:trHeight w:val="59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ECAD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Kąt skrzyżowania osi podłużnej z osią przeszkody: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55A7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ok. 90°</w:t>
            </w:r>
          </w:p>
        </w:tc>
      </w:tr>
      <w:tr w:rsidR="007A189B" w:rsidRPr="007A189B" w14:paraId="52C57D61" w14:textId="77777777" w:rsidTr="00B4606C">
        <w:trPr>
          <w:trHeight w:val="32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80D8" w14:textId="77777777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b/>
                <w:bCs/>
                <w:color w:val="000000"/>
                <w:lang w:eastAsia="en-US"/>
              </w:rPr>
            </w:pPr>
            <w:r w:rsidRPr="007A189B">
              <w:rPr>
                <w:rFonts w:eastAsia="Calibri" w:cs="Calibri"/>
                <w:b/>
                <w:bCs/>
                <w:color w:val="000000"/>
                <w:lang w:eastAsia="en-US"/>
              </w:rPr>
              <w:t>Wysokość skrajni pod obiektem: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53B7" w14:textId="77777777" w:rsid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 xml:space="preserve">min. 1,2 m </w:t>
            </w:r>
          </w:p>
          <w:p w14:paraId="58DDDF1F" w14:textId="3F8EE0AE" w:rsidR="007A189B" w:rsidRPr="007A189B" w:rsidRDefault="007A189B" w:rsidP="007A189B">
            <w:pPr>
              <w:spacing w:after="160" w:line="259" w:lineRule="auto"/>
              <w:ind w:left="1"/>
              <w:jc w:val="center"/>
              <w:rPr>
                <w:rFonts w:eastAsia="Calibri" w:cs="Calibri"/>
                <w:color w:val="000000"/>
                <w:lang w:eastAsia="en-US"/>
              </w:rPr>
            </w:pPr>
            <w:r w:rsidRPr="007A189B">
              <w:rPr>
                <w:rFonts w:eastAsia="Calibri" w:cs="Calibri"/>
                <w:color w:val="000000"/>
                <w:lang w:eastAsia="en-US"/>
              </w:rPr>
              <w:t>(2,6 m nad ciekiem)</w:t>
            </w:r>
          </w:p>
        </w:tc>
      </w:tr>
    </w:tbl>
    <w:p w14:paraId="47E73FBD" w14:textId="77777777" w:rsidR="003A3BDE" w:rsidRPr="003A3BDE" w:rsidRDefault="003A3BDE" w:rsidP="003A3B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A3BDE">
        <w:rPr>
          <w:rFonts w:asciiTheme="minorHAnsi" w:eastAsia="Calibri" w:hAnsiTheme="minorHAnsi" w:cstheme="minorHAnsi"/>
          <w:bCs/>
          <w:lang w:eastAsia="en-US" w:bidi="en-US"/>
        </w:rPr>
        <w:t>3. Charakterystyka drogi dla pieszych na dojazdach do obiektu:</w:t>
      </w:r>
    </w:p>
    <w:tbl>
      <w:tblPr>
        <w:tblW w:w="7648" w:type="dxa"/>
        <w:tblInd w:w="852" w:type="dxa"/>
        <w:tblCellMar>
          <w:top w:w="7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2"/>
        <w:gridCol w:w="2976"/>
      </w:tblGrid>
      <w:tr w:rsidR="003A3BDE" w:rsidRPr="003A3BDE" w14:paraId="69862DE4" w14:textId="77777777" w:rsidTr="00B4606C">
        <w:trPr>
          <w:trHeight w:val="331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1293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  <w:t>Szerokość drogi dla pieszych: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4DDF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Cs/>
                <w:lang w:eastAsia="en-US" w:bidi="en-US"/>
              </w:rPr>
              <w:t>1,8 m</w:t>
            </w:r>
          </w:p>
        </w:tc>
      </w:tr>
      <w:tr w:rsidR="003A3BDE" w:rsidRPr="003A3BDE" w14:paraId="3A4E05AB" w14:textId="77777777" w:rsidTr="00B4606C">
        <w:trPr>
          <w:trHeight w:val="329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616A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  <w:t>Pobocze: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F453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Cs/>
                <w:lang w:eastAsia="en-US" w:bidi="en-US"/>
              </w:rPr>
              <w:t>0,5+0,5=1,0 m</w:t>
            </w:r>
          </w:p>
        </w:tc>
      </w:tr>
      <w:tr w:rsidR="003A3BDE" w:rsidRPr="003A3BDE" w14:paraId="6C74BB86" w14:textId="77777777" w:rsidTr="00B4606C">
        <w:trPr>
          <w:trHeight w:val="331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5227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  <w:t>Szerokość pasa bezpieczeństwa: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84A0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Cs/>
                <w:lang w:eastAsia="en-US" w:bidi="en-US"/>
              </w:rPr>
              <w:t>1,8 m</w:t>
            </w:r>
          </w:p>
        </w:tc>
      </w:tr>
      <w:tr w:rsidR="003A3BDE" w:rsidRPr="003A3BDE" w14:paraId="71C719C3" w14:textId="77777777" w:rsidTr="00B4606C">
        <w:trPr>
          <w:trHeight w:val="331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F5DF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  <w:t>Pobocze: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3EF5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Cs/>
                <w:lang w:eastAsia="en-US" w:bidi="en-US"/>
              </w:rPr>
              <w:t>1,0 + 0,5 = 1,5 m</w:t>
            </w:r>
          </w:p>
        </w:tc>
      </w:tr>
      <w:tr w:rsidR="003A3BDE" w:rsidRPr="003A3BDE" w14:paraId="0D9485AD" w14:textId="77777777" w:rsidTr="00B4606C">
        <w:trPr>
          <w:trHeight w:val="331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4918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/>
                <w:bCs/>
                <w:lang w:eastAsia="en-US" w:bidi="en-US"/>
              </w:rPr>
              <w:t>Skrajnia dla pieszych: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1647" w14:textId="77777777" w:rsidR="003A3BDE" w:rsidRPr="003A3BDE" w:rsidRDefault="003A3BDE" w:rsidP="003A3BDE">
            <w:pPr>
              <w:spacing w:before="120" w:after="120" w:line="276" w:lineRule="auto"/>
              <w:jc w:val="center"/>
              <w:outlineLvl w:val="5"/>
              <w:rPr>
                <w:rFonts w:asciiTheme="minorHAnsi" w:eastAsia="Calibri" w:hAnsiTheme="minorHAnsi" w:cstheme="minorHAnsi"/>
                <w:bCs/>
                <w:lang w:eastAsia="en-US" w:bidi="en-US"/>
              </w:rPr>
            </w:pPr>
            <w:r w:rsidRPr="003A3BDE">
              <w:rPr>
                <w:rFonts w:asciiTheme="minorHAnsi" w:eastAsia="Calibri" w:hAnsiTheme="minorHAnsi" w:cstheme="minorHAnsi"/>
                <w:bCs/>
                <w:lang w:eastAsia="en-US" w:bidi="en-US"/>
              </w:rPr>
              <w:t>2,50 m</w:t>
            </w:r>
          </w:p>
        </w:tc>
      </w:tr>
    </w:tbl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23882249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9325D7" w:rsidRPr="009325D7">
        <w:rPr>
          <w:rFonts w:asciiTheme="minorHAnsi" w:eastAsia="Calibri" w:hAnsiTheme="minorHAnsi" w:cstheme="minorHAnsi"/>
          <w:bCs/>
          <w:lang w:eastAsia="en-US" w:bidi="en-US"/>
        </w:rPr>
        <w:t>w przypadku zniszczenia lub uszkodzenia obiektu albo jego części bądź urządzeń                i instalacji w toku jego realizacji – ich naprawienia i doprowadzenia do stanu pierwotnego lub wymiany na nowe;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F4474BE" w14:textId="77777777" w:rsidR="007B7A05" w:rsidRDefault="007B7A05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294D915" w14:textId="72F8D65C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38CA6A72" w14:textId="77777777" w:rsidR="00DE643B" w:rsidRDefault="00DE643B" w:rsidP="009C6F6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8FBDBA6" w14:textId="54F0E693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04A1CA9F" w14:textId="68629049" w:rsidR="00A77A6A" w:rsidRPr="00816CA1" w:rsidRDefault="00017F38" w:rsidP="003D55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74078B89" w:rsidR="00416CD2" w:rsidRPr="00330F03" w:rsidRDefault="00017F38" w:rsidP="00B7475B">
      <w:pPr>
        <w:spacing w:before="120" w:after="120" w:line="276" w:lineRule="auto"/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330F03" w:rsidRPr="00330F03">
        <w:rPr>
          <w:rFonts w:asciiTheme="minorHAnsi" w:eastAsia="Calibri" w:hAnsiTheme="minorHAnsi" w:cstheme="minorHAnsi"/>
          <w:b/>
          <w:bCs/>
          <w:lang w:eastAsia="en-US" w:bidi="en-US"/>
        </w:rPr>
        <w:t>7 miesięcy od dnia udzielenia zamówienia (od dnia zawarcia umowy)</w:t>
      </w:r>
      <w:r w:rsidR="00330F03">
        <w:rPr>
          <w:rFonts w:asciiTheme="minorHAnsi" w:eastAsia="Calibri" w:hAnsiTheme="minorHAnsi" w:cstheme="minorHAnsi"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053032D7" w14:textId="77777777" w:rsid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1. Za prawidłowe wykonanie przedmiotu umowy Zamawiający zapłaci Wykonawcy wynagrodzenie ryczałtowe w wysokości … zł netto + podatek VAT: …%, tj. … zł brutto (słownie brutto: ……………………………………………………………………………………………………………………)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26B92811" w14:textId="28594EC9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2. Wynagrodzenie, o którym mowa w ust. 1, obejmuje wszystkie koszty związane z realizacją obiektu oraz wszelkich obowiązków wskazanych w umowie. Zamawiający nie przewiduje zaliczek na poczet wynagrodzenia.</w:t>
      </w:r>
    </w:p>
    <w:p w14:paraId="2842E49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3. Kwota określona w ust. 1 stanowi pełne wynagrodzenie należne Wykonawcy z tytułu wykonania przedmiotu umowy oraz wykonania innych obowiązków Wykonawcy wskazanych w umowie.</w:t>
      </w:r>
    </w:p>
    <w:p w14:paraId="2947B16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4. Zamawiający dopuszcza odbiory częściowe za wykonane i odebrane części robót.</w:t>
      </w:r>
    </w:p>
    <w:p w14:paraId="3E6E43C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5. Podstawę do wystawienia, nie częściej niż raz w miesiącu, faktur częściowych za częściowo wykonane i odebrane części robót, stanowić będą protokoły odbioru częściowego, podpisane bez zastrzeżeń przez Inspektora Nadzoru i Zamawiającego.</w:t>
      </w:r>
    </w:p>
    <w:p w14:paraId="272B8822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 xml:space="preserve">6. 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4C123B78" w14:textId="57CF715F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7. Zapłata wynagrodzenia należnego Wykonawcy zostanie dokonana przelewem na rachunek bankowy Wykonawcy o numerze: ……………………………………………………….....................................</w:t>
      </w:r>
    </w:p>
    <w:p w14:paraId="7280507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Za termin zapłaty przyjmuje się dzień obciążenia rachunku Zamawiającego.</w:t>
      </w:r>
    </w:p>
    <w:p w14:paraId="3F9CF32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8. Zasady rozliczenia: </w:t>
      </w:r>
    </w:p>
    <w:p w14:paraId="0329D380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wynagrodzenie częściowe za wykonanie robót – do 90% wynagrodzenia brutto wskazanego w ust. 1, przy czym: </w:t>
      </w:r>
    </w:p>
    <w:p w14:paraId="76A39A48" w14:textId="49684388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pozostałe wynagrodzenie – nie mniej niż 10% wynagrodzenia brutto wskazanego                w ust.</w:t>
      </w:r>
      <w:r w:rsidR="00735CE5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 po podpisaniu przez Zamawiającego ostatecznego protokołu odbioru, przy uwzględnieniu wartości faktur wystawionych przez Wykonawcę, zgodnie z ust. 8 pkt 1. </w:t>
      </w:r>
    </w:p>
    <w:p w14:paraId="7D62B29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9. Podstawą wystawienia faktury z tytułu wynagrodzenia będzie:</w:t>
      </w:r>
    </w:p>
    <w:p w14:paraId="4E6B4EE9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 przypadku wynagrodzenia wskazanego w ust. 8 pkt 1 – częściowe protokoły odbioru; </w:t>
      </w:r>
    </w:p>
    <w:p w14:paraId="05BF0FB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w przypadku wynagrodzenia wskazanego w ust. 8 pkt 2 – podpisanie przez Zamawiającego ostatecznego protokołu odbioru.</w:t>
      </w:r>
    </w:p>
    <w:p w14:paraId="6F1532B9" w14:textId="77777777" w:rsidR="00D968EC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10. Należne Wykonawcy wynagrodzenie będzie płatne na podstawie prawidłowo wystawionej faktury. Fakturę należy wystawić na: </w:t>
      </w:r>
    </w:p>
    <w:p w14:paraId="56FF612F" w14:textId="77777777" w:rsidR="00D416A5" w:rsidRPr="00D416A5" w:rsidRDefault="00D416A5" w:rsidP="00D416A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u w:val="single"/>
          <w:lang w:eastAsia="en-US" w:bidi="en-US"/>
        </w:rPr>
      </w:pPr>
      <w:r w:rsidRPr="00D416A5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 xml:space="preserve">- </w:t>
      </w:r>
      <w:r w:rsidRPr="00D416A5">
        <w:rPr>
          <w:rFonts w:asciiTheme="minorHAnsi" w:eastAsia="Calibri" w:hAnsiTheme="minorHAnsi" w:cstheme="minorHAnsi"/>
          <w:b/>
          <w:bCs/>
          <w:color w:val="000000"/>
          <w:u w:val="single"/>
          <w:lang w:eastAsia="en-US" w:bidi="en-US"/>
        </w:rPr>
        <w:t>Nabywca (Podmiot 2, w tym wartość „1” w polu znacznikowym JST) wraz                              z identyfikatorem podatkowym JST nadanym na cele VAT:</w:t>
      </w:r>
    </w:p>
    <w:p w14:paraId="1E403E04" w14:textId="77777777" w:rsidR="00D416A5" w:rsidRPr="00D416A5" w:rsidRDefault="00D416A5" w:rsidP="00D416A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D416A5">
        <w:rPr>
          <w:rFonts w:asciiTheme="minorHAnsi" w:eastAsia="Calibri" w:hAnsiTheme="minorHAnsi" w:cstheme="minorHAnsi"/>
          <w:bCs/>
          <w:color w:val="000000"/>
          <w:lang w:eastAsia="en-US" w:bidi="en-US"/>
        </w:rPr>
        <w:t>Gmina Klembów, ul. Gen. Franciszka Żymirskiego 38, 05-205 Klembów, NIP: 125-133-36-56.</w:t>
      </w:r>
    </w:p>
    <w:p w14:paraId="2197CF2F" w14:textId="77777777" w:rsidR="00D416A5" w:rsidRPr="00D416A5" w:rsidRDefault="00D416A5" w:rsidP="00D416A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u w:val="single"/>
          <w:lang w:eastAsia="en-US" w:bidi="en-US"/>
        </w:rPr>
      </w:pPr>
      <w:r w:rsidRPr="00D416A5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 xml:space="preserve">- </w:t>
      </w:r>
      <w:r w:rsidRPr="00D416A5">
        <w:rPr>
          <w:rFonts w:asciiTheme="minorHAnsi" w:eastAsia="Calibri" w:hAnsiTheme="minorHAnsi" w:cstheme="minorHAnsi"/>
          <w:b/>
          <w:bCs/>
          <w:color w:val="000000"/>
          <w:u w:val="single"/>
          <w:lang w:eastAsia="en-US" w:bidi="en-US"/>
        </w:rPr>
        <w:t>Odbiorca (Podmiot 3 wraz z jego identyfikatorem podatkowym NIP oraz wypełnionym polem Rola – „8” – JST odbiorca):</w:t>
      </w:r>
    </w:p>
    <w:p w14:paraId="57F40C99" w14:textId="77777777" w:rsidR="00D416A5" w:rsidRPr="00D416A5" w:rsidRDefault="00D416A5" w:rsidP="00D416A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D416A5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Dane odbiorcy to dane Podmiotu 3, </w:t>
      </w:r>
      <w:r w:rsidRPr="00D416A5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>do którego ma trafić wystawiana faktura</w:t>
      </w:r>
      <w:r w:rsidRPr="00D416A5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0DC9EB58" w14:textId="48943135" w:rsidR="00B41A81" w:rsidRPr="00B41A81" w:rsidRDefault="00D416A5" w:rsidP="00D416A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D416A5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Urząd Gminy w Klembowie</w:t>
      </w:r>
      <w:r w:rsidRPr="00D416A5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, ul. </w:t>
      </w:r>
      <w:bookmarkStart w:id="0" w:name="_Hlk219194550"/>
      <w:r w:rsidRPr="00D416A5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Gen. Franciszka Żymirskiego </w:t>
      </w:r>
      <w:bookmarkEnd w:id="0"/>
      <w:r w:rsidRPr="00D416A5">
        <w:rPr>
          <w:rFonts w:asciiTheme="minorHAnsi" w:eastAsia="Calibri" w:hAnsiTheme="minorHAnsi" w:cstheme="minorHAnsi"/>
          <w:bCs/>
          <w:color w:val="000000"/>
          <w:lang w:eastAsia="en-US" w:bidi="en-US"/>
        </w:rPr>
        <w:t>38, 05-205 Klembów,             NIP: 762-166-62-94.</w:t>
      </w:r>
    </w:p>
    <w:p w14:paraId="165653F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11. Płatność za fakturę będzie dokonana przelewem z konta Zamawiającego na numer rachunku bankowego Wykonawcy </w:t>
      </w:r>
      <w:r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terminie 30 dni licząc od dnia doręczenia Zamawiającemu prawidłowo wystawionej faktury VAT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08E082D4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12. Błędnie wystawiona faktura, nie załączenie do faktury podpisanego protokołu odbioru lub nie załączenie dokumentów, o których mowa odpowiednio w § 4 ust. 4, ust. 9 oraz              § 5 ust. 8, skutkują przesunięciem 30-dniowego terminu płatności, o którym mowa w ust. 11, w ten sposób, że będzie on liczony od dnia doręczenia poprawionych lub brakujących dokumentów lub prawidłowo wystawionej faktury.</w:t>
      </w:r>
    </w:p>
    <w:p w14:paraId="2807ACC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>13. Ewentualne odsetki wynikające z nieterminowej płatności wobec podwykonawców obciążają Wykonawcę.</w:t>
      </w:r>
    </w:p>
    <w:p w14:paraId="497CE746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14. Wykonanie robót przez podwykonawców lub dalszych podwykonawców nie może            w żaden sposób skutkować powiększeniem wynagrodzenia Wykonawcy ponad kwotę określoną w ust 1.</w:t>
      </w:r>
    </w:p>
    <w:p w14:paraId="57C1481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15. Zasady wystawienia przez Wykonawcę faktury, w przypadku gdy w realizacji robót uczestniczyli podwykonawcy lub dalsi podwykonawcy, określa § 5 ust. 8.</w:t>
      </w:r>
    </w:p>
    <w:p w14:paraId="2CF858A7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16. 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F3CCC3F" w14:textId="77777777" w:rsidR="002F7B10" w:rsidRDefault="002F7B1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20472FD" w14:textId="36503CE4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24162841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403C9FE5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4C130BA6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</w:t>
      </w:r>
      <w:r w:rsidR="0069662D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65CAC6F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1A5E4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117286BC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1A7A24D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470A532B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1F5D11B2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507C9B86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576756EB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2E9A5036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Łączna wysokość kar umownych naliczonych przez Zamawiającego, nie może przekroczyć </w:t>
      </w:r>
      <w:r w:rsidR="00180192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053D561" w14:textId="4EB77526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29489D">
        <w:rPr>
          <w:rFonts w:ascii="Calibri" w:eastAsia="Calibri" w:hAnsi="Calibri"/>
          <w:b/>
          <w:bCs/>
          <w:color w:val="000000"/>
          <w:lang w:eastAsia="en-US" w:bidi="en-US"/>
        </w:rPr>
        <w:t>1,5</w:t>
      </w:r>
      <w:r w:rsidRPr="001F7E3C">
        <w:rPr>
          <w:rFonts w:ascii="Calibri" w:eastAsia="Calibri" w:hAnsi="Calibri"/>
          <w:b/>
          <w:bCs/>
          <w:color w:val="000000"/>
          <w:lang w:eastAsia="en-US" w:bidi="en-US"/>
        </w:rPr>
        <w:t xml:space="preserve">% </w:t>
      </w:r>
      <w:r w:rsidRPr="001F7E3C">
        <w:rPr>
          <w:rFonts w:ascii="Calibri" w:eastAsia="Calibri" w:hAnsi="Calibri"/>
          <w:b/>
          <w:bCs/>
          <w:color w:val="000000"/>
          <w:lang w:eastAsia="en-US" w:bidi="en-US"/>
        </w:rPr>
        <w:lastRenderedPageBreak/>
        <w:t>ceny brutto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5B2DDC6D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096E3AE9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4D6B30A" w14:textId="77777777" w:rsidR="001E3819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3BF151F2" w:rsidR="00443BF6" w:rsidRDefault="001E3819" w:rsidP="001C0A2B">
      <w:pPr>
        <w:spacing w:before="120" w:after="120" w:line="276" w:lineRule="auto"/>
        <w:outlineLvl w:val="5"/>
        <w:rPr>
          <w:rFonts w:ascii="Calibri" w:eastAsia="Calibri" w:hAnsi="Calibri"/>
          <w:bCs/>
          <w:i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74A138D1" w14:textId="77777777" w:rsidR="00C81235" w:rsidRPr="00443BF6" w:rsidRDefault="00C81235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0F237DA3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</w:t>
      </w:r>
      <w:r w:rsidR="001079E8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           o pracę osób wykonujących czynności, których dotyczy wezwanie Zamawiającego.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7AE0E9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1. Przewiduje się możliwość zmiany istotnych postanowień umowy w zakresie terminu realizacji, technologii wykonania przedmiotu umowy, wystąpienia robót, których na etapie projektowania nie można było przewidzieć, w formie pisemnej pod rygorem nieważności,       w następujących przypadkach:</w:t>
      </w:r>
    </w:p>
    <w:p w14:paraId="2B734174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lastRenderedPageBreak/>
        <w:t xml:space="preserve">1) wstrzymania robót lub przerw w pracach powstałych z przyczyn niezależnych od Stron, których nie można było przewidzieć na etapie zawarcia umowy, w szczególności: znaleziska archeologiczne lub niewypałów i niewybuchów; </w:t>
      </w:r>
    </w:p>
    <w:p w14:paraId="7FA2BD41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2) stwierdzenia okoliczności, których Zamawiający nie mógł przewidzieć w dniu podpisania umowy między innymi w związku ze stwierdzeniem w trakcie realizacji budowy braków, pomyłek lub błędów w dokumentacji; </w:t>
      </w:r>
    </w:p>
    <w:p w14:paraId="214356B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3) przedłużających się postępowań administracyjnych związanych z realizacją przedmiotu umowy; </w:t>
      </w:r>
    </w:p>
    <w:p w14:paraId="2F622D67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4) niekorzystnych warunków atmosferycznych lub gruntowo-wodnych, których nie można było przewidzieć na etapie projektowania;</w:t>
      </w:r>
    </w:p>
    <w:p w14:paraId="6474A57A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5) jeżeli nastąpi zmiana powszechnie obowiązujących przepisów prawa w zakresie mającym wpływ na realizację przedmiotu zamówienia lub świadczenia jednej lub obu Stron;</w:t>
      </w:r>
    </w:p>
    <w:p w14:paraId="69FD2A16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6) wystąpienia robót dodatkowych i zamiennych w stosunku do przewidzianych                      w dokumentacji, w sytuacji, gdy wykonanie tych robót będzie niezbędne do prawidłowego, tj. zgodnego z zasadami wiedzy technicznej i przepisami obowiązującymi na dzień odbioru ostatecznego robót wykonania przedmiotu Umowy;</w:t>
      </w:r>
    </w:p>
    <w:p w14:paraId="304475FE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7) w zakresie terminu realizacji - wystąpienia opadów deszczu w ciągu jednego miesiąca kalendarzowego, których suma byłaby wyższa o 50% od średniej opadów deszczu w tym miesiącu z okresu 20 lat poprzedzających zawarcie umowy; średnia zostanie ustalona na podstawie danych Instytutu Meteorologii i Gospodarki Wodnej Państwowy Instytut Badawczy,</w:t>
      </w:r>
    </w:p>
    <w:p w14:paraId="4D6F6F9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47198173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2. Zamawiający przewiduje możliwość zmiany wynagrodzenia Wykonawcy na jego wniosek   w przypadku:</w:t>
      </w:r>
    </w:p>
    <w:p w14:paraId="3887E11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1) zmiany kosztów związanych z realizacją umowy;</w:t>
      </w:r>
    </w:p>
    <w:p w14:paraId="4FD2C75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2) zmiany stawki podatku od towarów i usług oraz podatku akcyzowego, z tym zastrzeżeniem, że wartość netto wynagrodzenia Wykonawcy nie zmieni się, a wartość brutto wynagrodzenia zostanie wyliczona na podstawie nowych przepisów;</w:t>
      </w:r>
    </w:p>
    <w:p w14:paraId="6435E683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3) zmiany zasad podlegania ubezpieczeniom społecznym lub ubezpieczeniu zdrowotnemu lub wysokości stawki składki na ubezpieczenia społeczne lub zdrowotne, z tym zastrzeżeniem, że wynagrodzenie Wykonawcy ulegnie zmianie o wartość wzrostu całkowitego kosztu Wykonawcy, jaką będzie on zobowiązany dodatkowo ponieść w celu uwzględnienia tej zmiany, przy zachowaniu dotychczasowej kwoty netto wynagrodzenia osób bezpośrednio wykonujących niniejszą Umowę;</w:t>
      </w:r>
    </w:p>
    <w:p w14:paraId="02D9193E" w14:textId="5B1C02A5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lastRenderedPageBreak/>
        <w:t>4) zmiany zasad gromadzenia i wysokości wpłat do pracowniczych planów kapitałowych,        o których mowa w ustawie z dnia 4 października 2018 r. o pracowniczych planach kapitałowych, z tym zastrzeżeniem, że wynagrodzenie Wykonawcy ulegnie zmianie o wartość wzrostu kosztu Wykonawcy, jaką będzie on zobligowany ponieść w przypadku zmiany przepisów dotyczących zasad gromadzenia lub wpłat podstawowych finansowanych przez podmiot zatrudniający do pracowniczych planów kapitałowych w odniesieniu do osób bezpośrednio wykonujących niniejszą Umowę;</w:t>
      </w:r>
    </w:p>
    <w:p w14:paraId="5DAA1758" w14:textId="5B0B07AF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5) zmiany wysokości minimalnego wynagrodzenia za pracę ustalonego na podstawie art. 2 ust. 3-5 ustawy z dnia 10 października 2002 r. o minimalnym wynagrodzeniu za pracę</w:t>
      </w:r>
      <w:r w:rsidR="00A51207">
        <w:rPr>
          <w:rFonts w:ascii="Calibri" w:eastAsia="Calibri" w:hAnsi="Calibri" w:cs="Calibri"/>
          <w:bCs/>
          <w:lang w:eastAsia="en-US" w:bidi="en-US"/>
        </w:rPr>
        <w:t>,</w:t>
      </w:r>
      <w:r w:rsidRPr="00BE721D">
        <w:rPr>
          <w:rFonts w:ascii="Calibri" w:eastAsia="Calibri" w:hAnsi="Calibri" w:cs="Calibri"/>
          <w:bCs/>
          <w:lang w:eastAsia="en-US" w:bidi="en-US"/>
        </w:rPr>
        <w:t xml:space="preserve">         </w:t>
      </w:r>
    </w:p>
    <w:p w14:paraId="614E712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- jeżeli zmiany te będą miały wpływ na koszty wykonania umowy przez Wykonawcę.</w:t>
      </w:r>
    </w:p>
    <w:p w14:paraId="19588C8A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3. Podstawą do dokonania zmian, o których mowa w ust. 2 Umowy jest złożenie przez Wykonawcę umotywowanego wniosku i jego akceptacja przez Zamawiającego, przy czym odmowa akceptacji wniosku wymaga uzasadnienia.</w:t>
      </w:r>
    </w:p>
    <w:p w14:paraId="75143EA8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4. Zgodnie z art. 439 ust. 1 Prawa zamówień publicznych, Zamawiający wskazuje następujące zasady wprowadzenia zmian wysokości wynagrodzenia należnego Wykonawcy w przypadku zmiany kosztów związanych z realizacją umowy, o których mowa w ust. 2 pkt 1:</w:t>
      </w:r>
    </w:p>
    <w:p w14:paraId="24B49989" w14:textId="1ABBC306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1) wskaźnikiem zmiany kosztów związanych z realizacją umowy będzie informacja zawarta     w komunikacie Prezesa Głównego Urzędu Statystycznego (zwanego dalej jako „Prezes GUS”)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w sprawie wskaźnika cen towarów i usług konsumpcyjnych ogółem w stosunku do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A51207">
        <w:rPr>
          <w:rFonts w:ascii="Calibri" w:eastAsia="Calibri" w:hAnsi="Calibri" w:cs="Calibri"/>
          <w:b/>
          <w:bCs/>
          <w:lang w:eastAsia="en-US" w:bidi="en-US"/>
        </w:rPr>
        <w:t xml:space="preserve">               </w:t>
      </w:r>
      <w:r w:rsidR="001E3B2B">
        <w:rPr>
          <w:rFonts w:ascii="Calibri" w:eastAsia="Calibri" w:hAnsi="Calibri" w:cs="Calibri"/>
          <w:b/>
          <w:bCs/>
          <w:lang w:eastAsia="en-US" w:bidi="en-US"/>
        </w:rPr>
        <w:t>II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>I kwartału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 xml:space="preserve"> 202</w:t>
      </w:r>
      <w:r w:rsidR="00A51207">
        <w:rPr>
          <w:rFonts w:ascii="Calibri" w:eastAsia="Calibri" w:hAnsi="Calibri" w:cs="Calibri"/>
          <w:b/>
          <w:bCs/>
          <w:lang w:eastAsia="en-US" w:bidi="en-US"/>
        </w:rPr>
        <w:t>6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 xml:space="preserve"> r. </w:t>
      </w:r>
      <w:r w:rsidRPr="00BE721D">
        <w:rPr>
          <w:rFonts w:ascii="Calibri" w:eastAsia="Calibri" w:hAnsi="Calibri" w:cs="Calibri"/>
          <w:bCs/>
          <w:lang w:eastAsia="en-US" w:bidi="en-US"/>
        </w:rPr>
        <w:t>(zwany dalej „Wskaźnikiem”), który zostanie opublikowany w Dzienniku Urzędowym Rzeczypospolitej Polskiej "Monitor Polski";</w:t>
      </w:r>
    </w:p>
    <w:p w14:paraId="3F72E2D4" w14:textId="16E22912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2) Wykonawca jest uprawniony do złożenia wniosku, o którym mowa w ust. 3, jeżeli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wskaźnik cen towarów i usług konsumpcyjnych ogółem w stosunku do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1E3B2B">
        <w:rPr>
          <w:rFonts w:ascii="Calibri" w:eastAsia="Calibri" w:hAnsi="Calibri" w:cs="Calibri"/>
          <w:b/>
          <w:bCs/>
          <w:lang w:eastAsia="en-US" w:bidi="en-US"/>
        </w:rPr>
        <w:t>III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kwartału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1E3B2B">
        <w:rPr>
          <w:rFonts w:ascii="Calibri" w:eastAsia="Calibri" w:hAnsi="Calibri" w:cs="Calibri"/>
          <w:b/>
          <w:bCs/>
          <w:lang w:eastAsia="en-US" w:bidi="en-US"/>
        </w:rPr>
        <w:t xml:space="preserve">      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202</w:t>
      </w:r>
      <w:r w:rsidR="00A51207">
        <w:rPr>
          <w:rFonts w:ascii="Calibri" w:eastAsia="Calibri" w:hAnsi="Calibri" w:cs="Calibri"/>
          <w:b/>
          <w:bCs/>
          <w:lang w:eastAsia="en-US" w:bidi="en-US"/>
        </w:rPr>
        <w:t>6</w:t>
      </w:r>
      <w:r w:rsidR="001E3B2B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r., </w:t>
      </w:r>
      <w:r w:rsidRPr="00BE721D">
        <w:rPr>
          <w:rFonts w:ascii="Calibri" w:eastAsia="Calibri" w:hAnsi="Calibri" w:cs="Calibri"/>
          <w:bCs/>
          <w:lang w:eastAsia="en-US" w:bidi="en-US"/>
        </w:rPr>
        <w:t xml:space="preserve">wyniósł co najmniej 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10</w:t>
      </w:r>
      <w:r w:rsidR="006F3E03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 xml:space="preserve">,0 (wzrost cen o </w:t>
      </w:r>
      <w:r w:rsidR="006F3E03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,0%).</w:t>
      </w:r>
    </w:p>
    <w:p w14:paraId="3574B27D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5. Wykonawca jest zobowiązany do:</w:t>
      </w:r>
    </w:p>
    <w:p w14:paraId="58F02639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1) wskazania we wniosku, o którym mowa w ust. 3, za jaki etap realizacji umowy żąda    zmiany wysokości wynagrodzenia;</w:t>
      </w:r>
    </w:p>
    <w:p w14:paraId="0FF7371F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2) zawarcia we wniosku, o którym mowa w ust. 3, szczegółowych kalkulacji obrazujących, czy i w jakim stopniu zmiana przyjętego Wskaźnika wpłynęła na koszty realizacji etapu Umowy.</w:t>
      </w:r>
    </w:p>
    <w:p w14:paraId="1A0A4EA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6. Wykonawca może żądać zmiany wysokości wynagrodzenia wyłącznie za etap realizacji Umowy, który nie został jeszcze rozliczony.</w:t>
      </w:r>
    </w:p>
    <w:p w14:paraId="1877D421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7. Wykonawca jest uprawniony do złożenia wniosku, o którym mowa w ust. 3, w terminie      7 dni od podpisania protokołu odbioru częściowego etapu realizacji umowy.</w:t>
      </w:r>
    </w:p>
    <w:p w14:paraId="4811B4B4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8. Zamawiający oceni przedstawione uzasadnienie wniosku Wykonawcy o zmianę wynagrodzenia za dany etap realizacji Umowy i podejmie decyzję o zmianie wysokości wynagrodzenia lub odmówi wprowadzania zmiany przedstawiając swoje stanowisko.</w:t>
      </w:r>
    </w:p>
    <w:p w14:paraId="6A4E3880" w14:textId="66EE1C78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lastRenderedPageBreak/>
        <w:t xml:space="preserve">9. </w:t>
      </w:r>
      <w:bookmarkStart w:id="1" w:name="_Hlk193974592"/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 xml:space="preserve">Maksymalna wartość zmian wynagrodzenia, jaką dopuszcza Zamawiający w efekcie zastosowania postanowień dotyczących zmian wysokości wynagrodzenia, o których mowa    w Umowie, nie może przekroczyć kumulatywnie </w:t>
      </w:r>
      <w:r w:rsidR="00542D09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% wysokości wynagrodzenia brutto określonego w § 8 ust. 1.</w:t>
      </w:r>
      <w:bookmarkEnd w:id="1"/>
    </w:p>
    <w:p w14:paraId="55DA81E8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10. Zamawiający przewiduje możliwość wprowadzenia zmian do zawartej Umowy w formie pisemnego aneksu na podstawie art. 455 ustawy Prawo zamówień publicznych.</w:t>
      </w:r>
    </w:p>
    <w:p w14:paraId="50CAFE9C" w14:textId="77777777" w:rsidR="00FA2840" w:rsidRPr="00816CA1" w:rsidRDefault="00FA2840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5A12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4F750839" w14:textId="49337148" w:rsidR="009135BD" w:rsidRPr="009135BD" w:rsidRDefault="00BB31AB" w:rsidP="009135BD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 xml:space="preserve">3. Dane osobowe przetwarzane będą na podstawie art. 6 ust. 1 lit. c RODO w celu związanym z postępowaniem o udzielenie zamówienia publicznego pn.: </w:t>
      </w:r>
      <w:r w:rsidR="009135BD" w:rsidRPr="009135BD">
        <w:rPr>
          <w:rFonts w:ascii="Calibri" w:eastAsia="Calibri" w:hAnsi="Calibri"/>
          <w:b/>
          <w:bCs/>
          <w:lang w:eastAsia="en-US" w:bidi="en-US"/>
        </w:rPr>
        <w:t>Zagospodarowanie terenu rekreacyjnego i budowa kładki dla pieszych nad rzeką Cienką w miejscowości Klembów</w:t>
      </w:r>
    </w:p>
    <w:p w14:paraId="68895E04" w14:textId="1EAB45F1" w:rsidR="00BB31AB" w:rsidRPr="001451EF" w:rsidRDefault="00270AD1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>(</w:t>
      </w:r>
      <w:r w:rsidR="00BB31AB"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="00BB31AB"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9135BD">
        <w:rPr>
          <w:rFonts w:ascii="Calibri" w:eastAsia="Calibri" w:hAnsi="Calibri"/>
          <w:b/>
          <w:bCs/>
          <w:color w:val="FF0000"/>
          <w:lang w:eastAsia="en-US" w:bidi="en-US"/>
        </w:rPr>
        <w:t>11</w:t>
      </w:r>
      <w:r w:rsidR="00BB31AB"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9A6CE1">
        <w:rPr>
          <w:rFonts w:ascii="Calibri" w:eastAsia="Calibri" w:hAnsi="Calibri"/>
          <w:b/>
          <w:bCs/>
          <w:lang w:eastAsia="en-US" w:bidi="en-US"/>
        </w:rPr>
        <w:t>6</w:t>
      </w:r>
      <w:r>
        <w:rPr>
          <w:rFonts w:ascii="Calibri" w:eastAsia="Calibri" w:hAnsi="Calibri"/>
          <w:bCs/>
          <w:lang w:eastAsia="en-US" w:bidi="en-US"/>
        </w:rPr>
        <w:t>)</w:t>
      </w:r>
      <w:r w:rsidR="00BB31AB"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</w:t>
      </w:r>
      <w:r w:rsidR="003C6212">
        <w:rPr>
          <w:rFonts w:ascii="Calibri" w:eastAsia="Calibri" w:hAnsi="Calibri"/>
          <w:bCs/>
          <w:lang w:eastAsia="en-US" w:bidi="en-US"/>
        </w:rPr>
        <w:t>)</w:t>
      </w:r>
      <w:r w:rsidR="00BB31AB" w:rsidRPr="00BB31AB">
        <w:rPr>
          <w:rFonts w:ascii="Calibri" w:eastAsia="Calibri" w:hAnsi="Calibri"/>
          <w:bCs/>
          <w:lang w:eastAsia="en-US" w:bidi="en-US"/>
        </w:rPr>
        <w:t xml:space="preserve"> ustawy z dnia 11 września 2019 r. - Prawo zamówień publicznych (</w:t>
      </w:r>
      <w:r w:rsidR="003C6212" w:rsidRPr="003C6212">
        <w:rPr>
          <w:rFonts w:ascii="Calibri" w:eastAsia="Calibri" w:hAnsi="Calibri"/>
          <w:bCs/>
          <w:lang w:eastAsia="en-US" w:bidi="en-US"/>
        </w:rPr>
        <w:t>t.j. Dz. U. z 2024 r., poz. 1320 z późn. zm.</w:t>
      </w:r>
      <w:r w:rsidR="00BB31AB" w:rsidRPr="00BB31AB">
        <w:rPr>
          <w:rFonts w:ascii="Calibri" w:eastAsia="Calibri" w:hAnsi="Calibri"/>
          <w:bCs/>
          <w:lang w:eastAsia="en-US" w:bidi="en-US"/>
        </w:rPr>
        <w:t>)</w:t>
      </w:r>
      <w:r w:rsidR="00BB31AB">
        <w:rPr>
          <w:rFonts w:ascii="Calibri" w:eastAsia="Calibri" w:hAnsi="Calibri"/>
          <w:bCs/>
          <w:lang w:eastAsia="en-US" w:bidi="en-US"/>
        </w:rPr>
        <w:t>.</w:t>
      </w:r>
    </w:p>
    <w:p w14:paraId="78E8B4B6" w14:textId="0A71B69E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441B36" w:rsidRPr="00441B36">
        <w:rPr>
          <w:rFonts w:ascii="Calibri" w:eastAsia="Calibri" w:hAnsi="Calibri"/>
          <w:bCs/>
          <w:lang w:eastAsia="en-US" w:bidi="en-US"/>
        </w:rPr>
        <w:t>t.j. Dz. U. z 2024 r., poz. 1320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7669496" w14:textId="72915C97" w:rsidR="0074019F" w:rsidRPr="009135BD" w:rsidRDefault="00BB31AB" w:rsidP="00943B1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69B94FBB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</w:t>
      </w:r>
      <w:r w:rsidR="002475B5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33DADB08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6507BD" w:rsidRPr="006507BD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 miejscowo dla siedziby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449BDED7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70122C">
        <w:rPr>
          <w:rFonts w:asciiTheme="minorHAnsi" w:eastAsia="Calibri" w:hAnsiTheme="minorHAnsi" w:cstheme="minorHAnsi"/>
          <w:bCs/>
          <w:lang w:eastAsia="en-US" w:bidi="en-US"/>
        </w:rPr>
        <w:t>Dokumentacja projektowa</w:t>
      </w:r>
      <w:r w:rsidR="00550A0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="0070122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61EAAA9A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07D0A58" w14:textId="77777777" w:rsidR="0070122C" w:rsidRDefault="0070122C" w:rsidP="004971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8759984" w14:textId="170D9E42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2974" w14:textId="77777777" w:rsidR="00272023" w:rsidRDefault="00272023">
      <w:r>
        <w:separator/>
      </w:r>
    </w:p>
  </w:endnote>
  <w:endnote w:type="continuationSeparator" w:id="0">
    <w:p w14:paraId="17C0B7D7" w14:textId="77777777" w:rsidR="00272023" w:rsidRDefault="0027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2CA02" w14:textId="77777777" w:rsidR="00272023" w:rsidRDefault="00272023">
      <w:r>
        <w:separator/>
      </w:r>
    </w:p>
  </w:footnote>
  <w:footnote w:type="continuationSeparator" w:id="0">
    <w:p w14:paraId="1E2874C1" w14:textId="77777777" w:rsidR="00272023" w:rsidRDefault="0027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272023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6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025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068EE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218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12FD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68CB"/>
    <w:rsid w:val="000F7B18"/>
    <w:rsid w:val="00100841"/>
    <w:rsid w:val="00102A26"/>
    <w:rsid w:val="00102E1A"/>
    <w:rsid w:val="00103E6F"/>
    <w:rsid w:val="00103FFC"/>
    <w:rsid w:val="00105986"/>
    <w:rsid w:val="00105F4D"/>
    <w:rsid w:val="001079E8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2ECF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442C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192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5E45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3819"/>
    <w:rsid w:val="001E3B2B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0A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B5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023"/>
    <w:rsid w:val="002729C7"/>
    <w:rsid w:val="00273E30"/>
    <w:rsid w:val="00275AFD"/>
    <w:rsid w:val="00277528"/>
    <w:rsid w:val="00281C1F"/>
    <w:rsid w:val="00283489"/>
    <w:rsid w:val="00284F66"/>
    <w:rsid w:val="002857F9"/>
    <w:rsid w:val="00285973"/>
    <w:rsid w:val="00292041"/>
    <w:rsid w:val="00293CC0"/>
    <w:rsid w:val="00293EF7"/>
    <w:rsid w:val="002943E0"/>
    <w:rsid w:val="0029489D"/>
    <w:rsid w:val="00295697"/>
    <w:rsid w:val="00295EB8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2F5611"/>
    <w:rsid w:val="002F7B10"/>
    <w:rsid w:val="00300BE0"/>
    <w:rsid w:val="00302633"/>
    <w:rsid w:val="00304B8C"/>
    <w:rsid w:val="00305134"/>
    <w:rsid w:val="003055E7"/>
    <w:rsid w:val="00306A74"/>
    <w:rsid w:val="00307FC2"/>
    <w:rsid w:val="00310821"/>
    <w:rsid w:val="0031090A"/>
    <w:rsid w:val="00311814"/>
    <w:rsid w:val="00312070"/>
    <w:rsid w:val="0031255B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0F03"/>
    <w:rsid w:val="00331BB9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3AB8"/>
    <w:rsid w:val="00354E91"/>
    <w:rsid w:val="00356462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3BDE"/>
    <w:rsid w:val="003A4B5F"/>
    <w:rsid w:val="003A54E5"/>
    <w:rsid w:val="003A6280"/>
    <w:rsid w:val="003A7CB1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6212"/>
    <w:rsid w:val="003C708B"/>
    <w:rsid w:val="003D2C3D"/>
    <w:rsid w:val="003D2FE8"/>
    <w:rsid w:val="003D368B"/>
    <w:rsid w:val="003D36DF"/>
    <w:rsid w:val="003D4FDB"/>
    <w:rsid w:val="003D5519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3DAC"/>
    <w:rsid w:val="003F703C"/>
    <w:rsid w:val="00402363"/>
    <w:rsid w:val="00405874"/>
    <w:rsid w:val="00406682"/>
    <w:rsid w:val="00407ED9"/>
    <w:rsid w:val="00411DDD"/>
    <w:rsid w:val="004122BF"/>
    <w:rsid w:val="004131E9"/>
    <w:rsid w:val="004131FA"/>
    <w:rsid w:val="00416A2D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5596"/>
    <w:rsid w:val="00426727"/>
    <w:rsid w:val="00430776"/>
    <w:rsid w:val="00430949"/>
    <w:rsid w:val="00430A0C"/>
    <w:rsid w:val="00433449"/>
    <w:rsid w:val="00435202"/>
    <w:rsid w:val="0044034D"/>
    <w:rsid w:val="00441B36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66E3A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D51"/>
    <w:rsid w:val="00491E20"/>
    <w:rsid w:val="0049294C"/>
    <w:rsid w:val="0049428B"/>
    <w:rsid w:val="00495485"/>
    <w:rsid w:val="004966AA"/>
    <w:rsid w:val="0049718C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4F7DC2"/>
    <w:rsid w:val="00504ACB"/>
    <w:rsid w:val="00505373"/>
    <w:rsid w:val="00506C05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2D09"/>
    <w:rsid w:val="005436A7"/>
    <w:rsid w:val="005446DC"/>
    <w:rsid w:val="00545B6E"/>
    <w:rsid w:val="005462F9"/>
    <w:rsid w:val="00547BBD"/>
    <w:rsid w:val="00550642"/>
    <w:rsid w:val="00550A03"/>
    <w:rsid w:val="00552F0A"/>
    <w:rsid w:val="00554D4E"/>
    <w:rsid w:val="00560316"/>
    <w:rsid w:val="0056277E"/>
    <w:rsid w:val="00563327"/>
    <w:rsid w:val="00563571"/>
    <w:rsid w:val="005644B0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12F6"/>
    <w:rsid w:val="005A3518"/>
    <w:rsid w:val="005A3D26"/>
    <w:rsid w:val="005A43DA"/>
    <w:rsid w:val="005A5090"/>
    <w:rsid w:val="005A5E5E"/>
    <w:rsid w:val="005A6876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06B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5FF7"/>
    <w:rsid w:val="006363B1"/>
    <w:rsid w:val="006371B7"/>
    <w:rsid w:val="00637FA7"/>
    <w:rsid w:val="00641BED"/>
    <w:rsid w:val="00641FC4"/>
    <w:rsid w:val="006420F4"/>
    <w:rsid w:val="006423C1"/>
    <w:rsid w:val="0064378B"/>
    <w:rsid w:val="00643F5B"/>
    <w:rsid w:val="0064571B"/>
    <w:rsid w:val="00646C8C"/>
    <w:rsid w:val="00647ADB"/>
    <w:rsid w:val="006507BD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0996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662D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1D82"/>
    <w:rsid w:val="006B2736"/>
    <w:rsid w:val="006B43C1"/>
    <w:rsid w:val="006B568E"/>
    <w:rsid w:val="006B70F4"/>
    <w:rsid w:val="006B779C"/>
    <w:rsid w:val="006C3B2A"/>
    <w:rsid w:val="006C47AE"/>
    <w:rsid w:val="006C65D9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3E03"/>
    <w:rsid w:val="006F4D07"/>
    <w:rsid w:val="006F7723"/>
    <w:rsid w:val="007009EB"/>
    <w:rsid w:val="0070122C"/>
    <w:rsid w:val="00702CDA"/>
    <w:rsid w:val="00703F6D"/>
    <w:rsid w:val="00705114"/>
    <w:rsid w:val="007051C9"/>
    <w:rsid w:val="007052FB"/>
    <w:rsid w:val="00705382"/>
    <w:rsid w:val="0071103E"/>
    <w:rsid w:val="00711345"/>
    <w:rsid w:val="00711A1C"/>
    <w:rsid w:val="00712877"/>
    <w:rsid w:val="007168BD"/>
    <w:rsid w:val="00716EB8"/>
    <w:rsid w:val="00720949"/>
    <w:rsid w:val="00721B02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5CE5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AA6"/>
    <w:rsid w:val="00746CB4"/>
    <w:rsid w:val="0074718E"/>
    <w:rsid w:val="00747B28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868A8"/>
    <w:rsid w:val="00791CE6"/>
    <w:rsid w:val="00792548"/>
    <w:rsid w:val="0079710F"/>
    <w:rsid w:val="007A0A23"/>
    <w:rsid w:val="007A0B26"/>
    <w:rsid w:val="007A0C44"/>
    <w:rsid w:val="007A189B"/>
    <w:rsid w:val="007A43C9"/>
    <w:rsid w:val="007A496B"/>
    <w:rsid w:val="007A4D59"/>
    <w:rsid w:val="007B1457"/>
    <w:rsid w:val="007B2108"/>
    <w:rsid w:val="007B3FBB"/>
    <w:rsid w:val="007B6EE4"/>
    <w:rsid w:val="007B7A05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3D6F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3C72"/>
    <w:rsid w:val="0085755E"/>
    <w:rsid w:val="008579BE"/>
    <w:rsid w:val="00861859"/>
    <w:rsid w:val="00864187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9B0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5B83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1D2B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5E4"/>
    <w:rsid w:val="00910904"/>
    <w:rsid w:val="0091152C"/>
    <w:rsid w:val="00911E45"/>
    <w:rsid w:val="009135BD"/>
    <w:rsid w:val="0091413D"/>
    <w:rsid w:val="00916318"/>
    <w:rsid w:val="009214D5"/>
    <w:rsid w:val="009222FA"/>
    <w:rsid w:val="009233BD"/>
    <w:rsid w:val="00923F27"/>
    <w:rsid w:val="00926177"/>
    <w:rsid w:val="00926A05"/>
    <w:rsid w:val="009325D7"/>
    <w:rsid w:val="00932A69"/>
    <w:rsid w:val="009337A1"/>
    <w:rsid w:val="009344E0"/>
    <w:rsid w:val="00934556"/>
    <w:rsid w:val="009354DC"/>
    <w:rsid w:val="00937305"/>
    <w:rsid w:val="0093787A"/>
    <w:rsid w:val="00941688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08C2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0C98"/>
    <w:rsid w:val="009927F3"/>
    <w:rsid w:val="00994AAA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A6CE1"/>
    <w:rsid w:val="009A6F48"/>
    <w:rsid w:val="009B11E9"/>
    <w:rsid w:val="009B4103"/>
    <w:rsid w:val="009B42DA"/>
    <w:rsid w:val="009B646A"/>
    <w:rsid w:val="009C0234"/>
    <w:rsid w:val="009C0879"/>
    <w:rsid w:val="009C3199"/>
    <w:rsid w:val="009C3D53"/>
    <w:rsid w:val="009C3D56"/>
    <w:rsid w:val="009C404E"/>
    <w:rsid w:val="009C40C8"/>
    <w:rsid w:val="009C4E86"/>
    <w:rsid w:val="009C4FE9"/>
    <w:rsid w:val="009C5A90"/>
    <w:rsid w:val="009C66A5"/>
    <w:rsid w:val="009C6F6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343F"/>
    <w:rsid w:val="00A35B99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207"/>
    <w:rsid w:val="00A51A44"/>
    <w:rsid w:val="00A55EB0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2C28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175"/>
    <w:rsid w:val="00AB1458"/>
    <w:rsid w:val="00AB15CE"/>
    <w:rsid w:val="00AB230D"/>
    <w:rsid w:val="00AB32D3"/>
    <w:rsid w:val="00AB3739"/>
    <w:rsid w:val="00AB496E"/>
    <w:rsid w:val="00AB4BDD"/>
    <w:rsid w:val="00AB77AE"/>
    <w:rsid w:val="00AB79B1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D6F40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4257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39F1"/>
    <w:rsid w:val="00B33AB6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A81"/>
    <w:rsid w:val="00B41E84"/>
    <w:rsid w:val="00B4266A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75B"/>
    <w:rsid w:val="00B748DB"/>
    <w:rsid w:val="00B74B92"/>
    <w:rsid w:val="00B74DB4"/>
    <w:rsid w:val="00B75903"/>
    <w:rsid w:val="00B7633C"/>
    <w:rsid w:val="00B76CF7"/>
    <w:rsid w:val="00B77B87"/>
    <w:rsid w:val="00B8019D"/>
    <w:rsid w:val="00B829CB"/>
    <w:rsid w:val="00B832D4"/>
    <w:rsid w:val="00B84671"/>
    <w:rsid w:val="00B86063"/>
    <w:rsid w:val="00B87690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E721D"/>
    <w:rsid w:val="00BF225E"/>
    <w:rsid w:val="00BF311E"/>
    <w:rsid w:val="00BF5A77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C3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1235"/>
    <w:rsid w:val="00C81ED5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4B8F"/>
    <w:rsid w:val="00CF5062"/>
    <w:rsid w:val="00CF7497"/>
    <w:rsid w:val="00CF74DB"/>
    <w:rsid w:val="00CF7C18"/>
    <w:rsid w:val="00D01699"/>
    <w:rsid w:val="00D02341"/>
    <w:rsid w:val="00D046D6"/>
    <w:rsid w:val="00D04824"/>
    <w:rsid w:val="00D05FEF"/>
    <w:rsid w:val="00D07578"/>
    <w:rsid w:val="00D079FC"/>
    <w:rsid w:val="00D116BA"/>
    <w:rsid w:val="00D14C17"/>
    <w:rsid w:val="00D17A35"/>
    <w:rsid w:val="00D200BD"/>
    <w:rsid w:val="00D21C49"/>
    <w:rsid w:val="00D21C4A"/>
    <w:rsid w:val="00D25EC3"/>
    <w:rsid w:val="00D269C1"/>
    <w:rsid w:val="00D27697"/>
    <w:rsid w:val="00D30EB9"/>
    <w:rsid w:val="00D3263F"/>
    <w:rsid w:val="00D339CE"/>
    <w:rsid w:val="00D33A96"/>
    <w:rsid w:val="00D348D2"/>
    <w:rsid w:val="00D35013"/>
    <w:rsid w:val="00D35741"/>
    <w:rsid w:val="00D36F77"/>
    <w:rsid w:val="00D4111F"/>
    <w:rsid w:val="00D416A5"/>
    <w:rsid w:val="00D41C15"/>
    <w:rsid w:val="00D44582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8EC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3B8C"/>
    <w:rsid w:val="00DB462D"/>
    <w:rsid w:val="00DB4F01"/>
    <w:rsid w:val="00DB52CD"/>
    <w:rsid w:val="00DC1284"/>
    <w:rsid w:val="00DC3DCB"/>
    <w:rsid w:val="00DC5662"/>
    <w:rsid w:val="00DC5774"/>
    <w:rsid w:val="00DC5C1C"/>
    <w:rsid w:val="00DC7618"/>
    <w:rsid w:val="00DD0750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643B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3475"/>
    <w:rsid w:val="00E442B9"/>
    <w:rsid w:val="00E448D9"/>
    <w:rsid w:val="00E44D35"/>
    <w:rsid w:val="00E45F40"/>
    <w:rsid w:val="00E461D0"/>
    <w:rsid w:val="00E47652"/>
    <w:rsid w:val="00E478BB"/>
    <w:rsid w:val="00E47ABF"/>
    <w:rsid w:val="00E52CC6"/>
    <w:rsid w:val="00E539EB"/>
    <w:rsid w:val="00E53CB1"/>
    <w:rsid w:val="00E54D22"/>
    <w:rsid w:val="00E56431"/>
    <w:rsid w:val="00E57DCD"/>
    <w:rsid w:val="00E603C1"/>
    <w:rsid w:val="00E63427"/>
    <w:rsid w:val="00E64199"/>
    <w:rsid w:val="00E6504E"/>
    <w:rsid w:val="00E6577C"/>
    <w:rsid w:val="00E65973"/>
    <w:rsid w:val="00E702D2"/>
    <w:rsid w:val="00E708EC"/>
    <w:rsid w:val="00E71F4D"/>
    <w:rsid w:val="00E8163E"/>
    <w:rsid w:val="00E81869"/>
    <w:rsid w:val="00E82F67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4E09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2840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0C87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  <w:style w:type="table" w:customStyle="1" w:styleId="TableGrid">
    <w:name w:val="TableGrid"/>
    <w:rsid w:val="007A189B"/>
    <w:rPr>
      <w:rFonts w:ascii="Calibri" w:hAnsi="Calibri"/>
      <w:kern w:val="2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1695</TotalTime>
  <Pages>24</Pages>
  <Words>7757</Words>
  <Characters>46545</Characters>
  <Application>Microsoft Office Word</Application>
  <DocSecurity>0</DocSecurity>
  <Lines>387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54194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Paweł Matak</cp:lastModifiedBy>
  <cp:revision>416</cp:revision>
  <cp:lastPrinted>2016-05-17T15:04:00Z</cp:lastPrinted>
  <dcterms:created xsi:type="dcterms:W3CDTF">2023-05-17T08:44:00Z</dcterms:created>
  <dcterms:modified xsi:type="dcterms:W3CDTF">2026-07-13T10:39:00Z</dcterms:modified>
</cp:coreProperties>
</file>